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C7" w:rsidRDefault="001234C7" w:rsidP="001234C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渭南市市级文明镇测评体系</w:t>
      </w:r>
    </w:p>
    <w:p w:rsidR="001234C7" w:rsidRDefault="001234C7" w:rsidP="001234C7">
      <w:pPr>
        <w:jc w:val="center"/>
        <w:rPr>
          <w:b/>
          <w:sz w:val="32"/>
          <w:szCs w:val="32"/>
        </w:rPr>
      </w:pPr>
    </w:p>
    <w:p w:rsidR="001234C7" w:rsidRDefault="001234C7" w:rsidP="001234C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说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明</w:t>
      </w:r>
    </w:p>
    <w:p w:rsidR="001234C7" w:rsidRDefault="001234C7" w:rsidP="001234C7">
      <w:pPr>
        <w:widowControl/>
        <w:shd w:val="clear" w:color="auto" w:fill="FFFFFF"/>
        <w:spacing w:line="560" w:lineRule="exact"/>
        <w:ind w:firstLineChars="196" w:firstLine="549"/>
        <w:rPr>
          <w:rFonts w:ascii="宋体"/>
          <w:b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一、本测评体系是根据市级</w:t>
      </w:r>
      <w:r w:rsidRPr="00B47934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文明镇</w:t>
      </w: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创建综合评价体系专门制定的考核体系。</w:t>
      </w:r>
    </w:p>
    <w:p w:rsidR="001234C7" w:rsidRDefault="001234C7" w:rsidP="001234C7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hAnsi="Tahoma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二、根据创建文明镇工作实际，测评体系共设置</w:t>
      </w:r>
      <w:r>
        <w:rPr>
          <w:rFonts w:ascii="仿宋_GB2312" w:eastAsia="仿宋_GB2312" w:hAnsi="Tahoma" w:cs="Tahom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个测评项目，满分为</w:t>
      </w:r>
      <w:r>
        <w:rPr>
          <w:rFonts w:ascii="仿宋_GB2312" w:eastAsia="仿宋_GB2312" w:hAnsi="Tahoma" w:cs="Tahoma"/>
          <w:color w:val="000000"/>
          <w:kern w:val="0"/>
          <w:sz w:val="28"/>
          <w:szCs w:val="28"/>
        </w:rPr>
        <w:t>100</w:t>
      </w: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分。</w:t>
      </w:r>
    </w:p>
    <w:p w:rsidR="001234C7" w:rsidRDefault="001234C7" w:rsidP="001234C7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hAnsi="Tahoma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>数据采集主要使用实地考察、材料审核、问卷调查三种方法。</w:t>
      </w:r>
    </w:p>
    <w:p w:rsidR="001234C7" w:rsidRPr="00A07FF9" w:rsidRDefault="001234C7" w:rsidP="001234C7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hAnsi="Tahoma" w:cs="Tahoma"/>
          <w:kern w:val="0"/>
          <w:sz w:val="28"/>
          <w:szCs w:val="28"/>
        </w:rPr>
      </w:pPr>
      <w:r w:rsidRPr="00A07FF9">
        <w:rPr>
          <w:rFonts w:ascii="仿宋_GB2312" w:eastAsia="仿宋_GB2312" w:hAnsi="Tahoma" w:cs="Tahoma" w:hint="eastAsia"/>
          <w:kern w:val="0"/>
          <w:sz w:val="28"/>
          <w:szCs w:val="28"/>
        </w:rPr>
        <w:t>四、申报前两年内有下列情形之一的，不得申报市级文明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镇</w:t>
      </w:r>
      <w:r w:rsidRPr="00A07FF9">
        <w:rPr>
          <w:rFonts w:ascii="仿宋_GB2312" w:eastAsia="仿宋_GB2312" w:hAnsi="Tahoma" w:cs="Tahoma" w:hint="eastAsia"/>
          <w:kern w:val="0"/>
          <w:sz w:val="28"/>
          <w:szCs w:val="28"/>
        </w:rPr>
        <w:t>：</w:t>
      </w:r>
    </w:p>
    <w:p w:rsidR="001234C7" w:rsidRPr="00A07FF9" w:rsidRDefault="001234C7" w:rsidP="001234C7">
      <w:pPr>
        <w:widowControl/>
        <w:shd w:val="clear" w:color="auto" w:fill="FFFFFF"/>
        <w:spacing w:line="560" w:lineRule="exact"/>
        <w:ind w:firstLineChars="450" w:firstLine="10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、党政班子成员有严重违法违纪的</w:t>
      </w:r>
      <w:r w:rsidRPr="00A07FF9">
        <w:rPr>
          <w:rFonts w:ascii="仿宋_GB2312" w:eastAsia="仿宋_GB2312" w:hAnsi="仿宋_GB2312" w:cs="仿宋_GB2312" w:hint="eastAsia"/>
          <w:sz w:val="24"/>
        </w:rPr>
        <w:t>；</w:t>
      </w:r>
    </w:p>
    <w:p w:rsidR="001234C7" w:rsidRPr="00A07FF9" w:rsidRDefault="001234C7" w:rsidP="001234C7">
      <w:pPr>
        <w:widowControl/>
        <w:shd w:val="clear" w:color="auto" w:fill="FFFFFF"/>
        <w:spacing w:line="560" w:lineRule="exact"/>
        <w:ind w:firstLineChars="450" w:firstLine="10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、有干部职工严重违法违纪的</w:t>
      </w:r>
      <w:r w:rsidRPr="00A07FF9">
        <w:rPr>
          <w:rFonts w:ascii="仿宋_GB2312" w:eastAsia="仿宋_GB2312" w:hAnsi="仿宋_GB2312" w:cs="仿宋_GB2312" w:hint="eastAsia"/>
          <w:sz w:val="24"/>
        </w:rPr>
        <w:t>；</w:t>
      </w:r>
    </w:p>
    <w:p w:rsidR="001234C7" w:rsidRPr="00A07FF9" w:rsidRDefault="001234C7" w:rsidP="001234C7">
      <w:pPr>
        <w:widowControl/>
        <w:shd w:val="clear" w:color="auto" w:fill="FFFFFF"/>
        <w:spacing w:line="560" w:lineRule="exact"/>
        <w:ind w:firstLineChars="450" w:firstLine="10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、有干部职工赌博、酗酒、打架，造成不良社会影响的</w:t>
      </w:r>
      <w:r w:rsidRPr="00A07FF9">
        <w:rPr>
          <w:rFonts w:ascii="仿宋_GB2312" w:eastAsia="仿宋_GB2312" w:hAnsi="仿宋_GB2312" w:cs="仿宋_GB2312" w:hint="eastAsia"/>
          <w:sz w:val="24"/>
        </w:rPr>
        <w:t>；</w:t>
      </w:r>
    </w:p>
    <w:p w:rsidR="001234C7" w:rsidRPr="00A07FF9" w:rsidRDefault="001234C7" w:rsidP="001234C7">
      <w:pPr>
        <w:widowControl/>
        <w:shd w:val="clear" w:color="auto" w:fill="FFFFFF"/>
        <w:spacing w:line="560" w:lineRule="exact"/>
        <w:ind w:firstLineChars="450" w:firstLine="10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、辖区内有传销、赌博、制毒贩毒吸毒、卖淫嫖娼窝点的</w:t>
      </w:r>
      <w:r w:rsidRPr="00A07FF9">
        <w:rPr>
          <w:rFonts w:ascii="仿宋_GB2312" w:eastAsia="仿宋_GB2312" w:hAnsi="仿宋_GB2312" w:cs="仿宋_GB2312" w:hint="eastAsia"/>
          <w:sz w:val="24"/>
        </w:rPr>
        <w:t>；</w:t>
      </w:r>
    </w:p>
    <w:p w:rsidR="001234C7" w:rsidRDefault="001234C7" w:rsidP="001234C7">
      <w:pPr>
        <w:widowControl/>
        <w:shd w:val="clear" w:color="auto" w:fill="FFFFFF"/>
        <w:spacing w:line="560" w:lineRule="exact"/>
        <w:ind w:firstLineChars="450" w:firstLine="10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、辖区内有生产、销售假冒伪劣食品药品商品的；</w:t>
      </w:r>
    </w:p>
    <w:p w:rsidR="001234C7" w:rsidRPr="00314D49" w:rsidRDefault="001234C7" w:rsidP="001234C7">
      <w:pPr>
        <w:widowControl/>
        <w:shd w:val="clear" w:color="auto" w:fill="FFFFFF"/>
        <w:spacing w:line="560" w:lineRule="exact"/>
        <w:ind w:firstLineChars="450" w:firstLine="108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4"/>
        </w:rPr>
        <w:t>6</w:t>
      </w:r>
      <w:r>
        <w:rPr>
          <w:rFonts w:ascii="仿宋_GB2312" w:eastAsia="仿宋_GB2312" w:hAnsi="仿宋_GB2312" w:cs="仿宋_GB2312" w:hint="eastAsia"/>
          <w:sz w:val="24"/>
        </w:rPr>
        <w:t>、在文明办调研、暗访中发现严重问题的。</w:t>
      </w:r>
    </w:p>
    <w:p w:rsidR="001234C7" w:rsidRDefault="001234C7" w:rsidP="001234C7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hAnsi="Tahoma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五、本测评体系适用于市级文明镇。</w:t>
      </w:r>
    </w:p>
    <w:p w:rsidR="001234C7" w:rsidRDefault="001234C7" w:rsidP="001234C7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lastRenderedPageBreak/>
        <w:t>六、</w:t>
      </w:r>
      <w:proofErr w:type="gramStart"/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本考核</w:t>
      </w:r>
      <w:proofErr w:type="gramEnd"/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体系由市文明办负责解释。</w:t>
      </w:r>
    </w:p>
    <w:p w:rsidR="001234C7" w:rsidRDefault="001234C7" w:rsidP="001234C7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</w:pPr>
    </w:p>
    <w:p w:rsidR="001234C7" w:rsidRPr="00FF24C6" w:rsidRDefault="001234C7" w:rsidP="001234C7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Tahoma" w:cs="Tahoma"/>
          <w:color w:val="000000"/>
          <w:kern w:val="0"/>
          <w:sz w:val="28"/>
          <w:szCs w:val="28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880"/>
        <w:gridCol w:w="540"/>
        <w:gridCol w:w="3780"/>
        <w:gridCol w:w="4500"/>
        <w:gridCol w:w="1440"/>
      </w:tblGrid>
      <w:tr w:rsidR="001234C7" w:rsidTr="00532772">
        <w:trPr>
          <w:trHeight w:val="604"/>
        </w:trPr>
        <w:tc>
          <w:tcPr>
            <w:tcW w:w="720" w:type="dxa"/>
            <w:vAlign w:val="center"/>
          </w:tcPr>
          <w:p w:rsidR="001234C7" w:rsidRDefault="001234C7" w:rsidP="00532772">
            <w:pPr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测评项目</w:t>
            </w: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测评内容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分值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3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得分标准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34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查看材料清单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测评方法</w:t>
            </w:r>
          </w:p>
        </w:tc>
      </w:tr>
      <w:tr w:rsidR="001234C7" w:rsidTr="00532772">
        <w:trPr>
          <w:trHeight w:val="1315"/>
        </w:trPr>
        <w:tc>
          <w:tcPr>
            <w:tcW w:w="720" w:type="dxa"/>
            <w:vMerge w:val="restart"/>
            <w:vAlign w:val="center"/>
          </w:tcPr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一</w:t>
            </w: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创建要求</w:t>
            </w: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一</w:t>
            </w: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创建要求</w:t>
            </w: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  <w:p w:rsidR="001234C7" w:rsidRDefault="001234C7" w:rsidP="00532772">
            <w:pPr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、加强领导，周密安排，落实年度文明创建工作计划。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有年度精神文明建设工作计划</w:t>
            </w: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分；有考核办法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分；有总结工作</w:t>
            </w: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分。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、开展精神文明创建的年度计划；</w:t>
            </w:r>
          </w:p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、年度精神文明建设考核奖惩决定。</w:t>
            </w:r>
          </w:p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、年度工作总结。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现场查看</w:t>
            </w:r>
          </w:p>
        </w:tc>
      </w:tr>
      <w:tr w:rsidR="001234C7" w:rsidTr="00532772">
        <w:trPr>
          <w:trHeight w:val="313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、开展“美丽乡村，文明家园”建设活动。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36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有工作方案</w:t>
            </w: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分；辖区内行政村全部开展“美丽乡村，文明家园”建设</w:t>
            </w:r>
            <w:r>
              <w:rPr>
                <w:rFonts w:ascii="仿宋_GB2312" w:eastAsia="仿宋_GB2312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分；一半以上开展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分；未开展不得分。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26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、“美丽乡村，文明家园”建设方案。</w:t>
            </w:r>
          </w:p>
          <w:p w:rsidR="001234C7" w:rsidRDefault="001234C7" w:rsidP="00532772">
            <w:pPr>
              <w:spacing w:line="26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、开展“美丽乡村，文明家园”的行政村名单。</w:t>
            </w:r>
          </w:p>
          <w:p w:rsidR="001234C7" w:rsidRDefault="001234C7" w:rsidP="00532772">
            <w:pPr>
              <w:spacing w:line="26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、开展“美丽乡村，文明家园”的图片、文字材料。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现场查看</w:t>
            </w:r>
          </w:p>
        </w:tc>
      </w:tr>
      <w:tr w:rsidR="001234C7" w:rsidTr="00532772">
        <w:trPr>
          <w:trHeight w:val="313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、部署开展“推进农村移风易俗</w:t>
            </w: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树立乡风文明”工作。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36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有工作方案</w:t>
            </w: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分；辖区内行政村全部开展“移风易俗”工作</w:t>
            </w:r>
            <w:r>
              <w:rPr>
                <w:rFonts w:ascii="仿宋_GB2312" w:eastAsia="仿宋_GB2312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分；一半以上开展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分；未开展不得分。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26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、开展“移风易俗”工作方案。</w:t>
            </w:r>
          </w:p>
          <w:p w:rsidR="001234C7" w:rsidRDefault="001234C7" w:rsidP="00532772">
            <w:pPr>
              <w:spacing w:line="26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、开展“移风易俗”工作的行政村名单。</w:t>
            </w:r>
          </w:p>
          <w:p w:rsidR="001234C7" w:rsidRDefault="001234C7" w:rsidP="00532772">
            <w:pPr>
              <w:spacing w:line="26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、开展“移风易俗”工作的图片、文字材料。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spacing w:line="40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现场查看</w:t>
            </w:r>
          </w:p>
        </w:tc>
      </w:tr>
      <w:tr w:rsidR="001234C7" w:rsidTr="00532772">
        <w:trPr>
          <w:trHeight w:val="1801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、建立道德讲堂、每年举办道德讲座不少于</w:t>
            </w: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次，经常面向广大居民、青少年开展道德实践活动，形成浓厚的道德文化氛围。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34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每开展一次得</w:t>
            </w:r>
            <w:r>
              <w:rPr>
                <w:rFonts w:ascii="仿宋_GB2312" w:eastAsia="仿宋_GB2312"/>
                <w:color w:val="000000"/>
                <w:sz w:val="24"/>
              </w:rPr>
              <w:t>1.5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分。</w:t>
            </w:r>
          </w:p>
        </w:tc>
        <w:tc>
          <w:tcPr>
            <w:tcW w:w="4500" w:type="dxa"/>
            <w:vAlign w:val="center"/>
          </w:tcPr>
          <w:p w:rsidR="001234C7" w:rsidRPr="0093676E" w:rsidRDefault="001234C7" w:rsidP="00532772">
            <w:pPr>
              <w:spacing w:line="28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、道德讲堂的图片及文字材料，说明时间、地点、内容、主讲人、听众人</w:t>
            </w:r>
            <w:r w:rsidRPr="005424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数等</w:t>
            </w:r>
            <w:r w:rsidRPr="0054249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现场查看</w:t>
            </w:r>
          </w:p>
        </w:tc>
      </w:tr>
      <w:tr w:rsidR="001234C7" w:rsidTr="00532772">
        <w:trPr>
          <w:trHeight w:val="1075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4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、经常性开展志愿服务活动。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34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志愿服务活动一次得</w:t>
            </w: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分，全年不少于</w:t>
            </w:r>
            <w:r>
              <w:rPr>
                <w:rFonts w:ascii="仿宋_GB2312" w:eastAsia="仿宋_GB2312"/>
                <w:color w:val="00000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次，四次以上得</w:t>
            </w:r>
            <w:r>
              <w:rPr>
                <w:rFonts w:ascii="仿宋_GB2312" w:eastAsia="仿宋_GB2312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开展志愿服务活动的图片及文字材料（包括时间、地点、志愿服务内容、对象等）。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现场查看</w:t>
            </w:r>
          </w:p>
        </w:tc>
      </w:tr>
      <w:tr w:rsidR="001234C7" w:rsidTr="00532772">
        <w:trPr>
          <w:trHeight w:val="1244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Pr="000D0D30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6</w:t>
            </w:r>
            <w:r w:rsidRPr="000D0D30"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、深入开展“厚德陕西”道德实践活动，培育好家风、传承好家训。</w:t>
            </w:r>
          </w:p>
        </w:tc>
        <w:tc>
          <w:tcPr>
            <w:tcW w:w="540" w:type="dxa"/>
            <w:vAlign w:val="center"/>
          </w:tcPr>
          <w:p w:rsidR="001234C7" w:rsidRPr="000D0D30" w:rsidRDefault="001234C7" w:rsidP="00532772">
            <w:pPr>
              <w:spacing w:line="340" w:lineRule="exact"/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 w:rsidRPr="000D0D30">
              <w:rPr>
                <w:rFonts w:ascii="仿宋_GB2312" w:eastAsia="仿宋_GB2312" w:hAnsi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1234C7" w:rsidRPr="000D0D30" w:rsidRDefault="001234C7" w:rsidP="00532772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0D0D30">
              <w:rPr>
                <w:rFonts w:ascii="仿宋_GB2312" w:eastAsia="仿宋_GB2312" w:hint="eastAsia"/>
                <w:color w:val="000000"/>
                <w:sz w:val="24"/>
              </w:rPr>
              <w:t>有</w:t>
            </w:r>
            <w:r w:rsidRPr="000D0D30"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“厚德陕西”</w:t>
            </w:r>
            <w:r w:rsidRPr="000D0D30">
              <w:rPr>
                <w:rFonts w:ascii="仿宋_GB2312" w:eastAsia="仿宋_GB2312" w:hint="eastAsia"/>
                <w:color w:val="000000"/>
                <w:sz w:val="24"/>
              </w:rPr>
              <w:t>道德实践活动方案</w:t>
            </w:r>
            <w:r w:rsidRPr="000D0D30">
              <w:rPr>
                <w:rFonts w:ascii="仿宋_GB2312" w:eastAsia="仿宋_GB2312"/>
                <w:color w:val="000000"/>
                <w:sz w:val="24"/>
              </w:rPr>
              <w:t>2</w:t>
            </w:r>
            <w:r w:rsidRPr="000D0D30">
              <w:rPr>
                <w:rFonts w:ascii="仿宋_GB2312" w:eastAsia="仿宋_GB2312" w:hint="eastAsia"/>
                <w:color w:val="000000"/>
                <w:sz w:val="24"/>
              </w:rPr>
              <w:t>分，每开展一次主题活动</w:t>
            </w:r>
            <w:r w:rsidRPr="000D0D30">
              <w:rPr>
                <w:rFonts w:ascii="仿宋_GB2312" w:eastAsia="仿宋_GB2312"/>
                <w:color w:val="000000"/>
                <w:sz w:val="24"/>
              </w:rPr>
              <w:t>1</w:t>
            </w:r>
            <w:r w:rsidRPr="000D0D30">
              <w:rPr>
                <w:rFonts w:ascii="仿宋_GB2312" w:eastAsia="仿宋_GB2312" w:hint="eastAsia"/>
                <w:color w:val="000000"/>
                <w:sz w:val="24"/>
              </w:rPr>
              <w:t>分。</w:t>
            </w:r>
          </w:p>
        </w:tc>
        <w:tc>
          <w:tcPr>
            <w:tcW w:w="4500" w:type="dxa"/>
            <w:vAlign w:val="center"/>
          </w:tcPr>
          <w:p w:rsidR="001234C7" w:rsidRPr="000D0D30" w:rsidRDefault="001234C7" w:rsidP="001234C7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 w:rsidRPr="000D0D30"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开展“厚德陕西”道德实践活动的方案；</w:t>
            </w:r>
          </w:p>
          <w:p w:rsidR="001234C7" w:rsidRPr="000D0D30" w:rsidRDefault="001234C7" w:rsidP="001234C7">
            <w:pPr>
              <w:numPr>
                <w:ilvl w:val="0"/>
                <w:numId w:val="1"/>
              </w:num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 w:rsidRPr="000D0D30"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开展“厚德陕西”道德实践活动的视频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或</w:t>
            </w:r>
            <w:r w:rsidRPr="000D0D30"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图片、文字材料。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jc w:val="center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现场查看</w:t>
            </w:r>
          </w:p>
        </w:tc>
      </w:tr>
      <w:tr w:rsidR="001234C7" w:rsidTr="00532772">
        <w:trPr>
          <w:trHeight w:val="1913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、开展道德模范、身边好人、好婆媳、好邻居等一系列评选表彰活动。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有评选表彰</w:t>
            </w: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分；</w:t>
            </w:r>
          </w:p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有学习宣传活动</w:t>
            </w: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4500" w:type="dxa"/>
            <w:vAlign w:val="center"/>
          </w:tcPr>
          <w:p w:rsidR="001234C7" w:rsidRDefault="001234C7" w:rsidP="001234C7">
            <w:pPr>
              <w:numPr>
                <w:ilvl w:val="0"/>
                <w:numId w:val="2"/>
              </w:num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评比表彰的安排文件、表彰决定、公告</w:t>
            </w: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分；</w:t>
            </w:r>
          </w:p>
          <w:p w:rsidR="001234C7" w:rsidRDefault="001234C7" w:rsidP="001234C7">
            <w:pPr>
              <w:numPr>
                <w:ilvl w:val="0"/>
                <w:numId w:val="2"/>
              </w:num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学习宣传活动文字、视频或图片材料</w:t>
            </w: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现场查看</w:t>
            </w:r>
          </w:p>
        </w:tc>
      </w:tr>
      <w:tr w:rsidR="001234C7" w:rsidTr="00532772">
        <w:trPr>
          <w:trHeight w:val="1538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20" w:lineRule="atLeas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、以“我们的节日”为主题，在重要传统节日期间，开展经常性的节日民俗和文化娱乐活动。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360" w:lineRule="atLeas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每开展一次活动得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分。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开展活动的图片、文字说明材料。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spacing w:line="360" w:lineRule="atLeas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现场查看</w:t>
            </w:r>
          </w:p>
        </w:tc>
      </w:tr>
      <w:tr w:rsidR="001234C7" w:rsidTr="00532772">
        <w:trPr>
          <w:trHeight w:val="1659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Pr="00AE460E" w:rsidRDefault="001234C7" w:rsidP="00532772">
            <w:pPr>
              <w:snapToGrid w:val="0"/>
              <w:rPr>
                <w:rFonts w:ascii="宋体" w:eastAsia="仿宋_GB2312" w:hAnsi="宋体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积极组织开展“我推荐、我评议身边好人”活动，善于发现，积极推身边</w:t>
            </w:r>
            <w:r>
              <w:rPr>
                <w:rFonts w:ascii="宋体" w:eastAsia="仿宋_GB2312" w:hAnsi="宋体" w:hint="eastAsia"/>
                <w:sz w:val="24"/>
              </w:rPr>
              <w:t>好人线索。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widowControl/>
              <w:spacing w:line="360" w:lineRule="atLeas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widowControl/>
              <w:spacing w:line="280" w:lineRule="exac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善于发现、积极推荐身边好人线索。大力宣传好人事迹，弘扬好人精神。每季度有推荐截图</w:t>
            </w:r>
            <w:r>
              <w:rPr>
                <w:rFonts w:ascii="宋体" w:eastAsia="仿宋_GB2312" w:hAnsi="宋体"/>
                <w:sz w:val="24"/>
              </w:rPr>
              <w:t>0.5</w:t>
            </w:r>
            <w:r>
              <w:rPr>
                <w:rFonts w:ascii="宋体" w:eastAsia="仿宋_GB2312" w:hAnsi="宋体" w:hint="eastAsia"/>
                <w:sz w:val="24"/>
              </w:rPr>
              <w:t>分，举办身边</w:t>
            </w:r>
            <w:proofErr w:type="gramStart"/>
            <w:r>
              <w:rPr>
                <w:rFonts w:ascii="宋体" w:eastAsia="仿宋_GB2312" w:hAnsi="宋体" w:hint="eastAsia"/>
                <w:sz w:val="24"/>
              </w:rPr>
              <w:t>好人事迹</w:t>
            </w:r>
            <w:proofErr w:type="gramEnd"/>
            <w:r>
              <w:rPr>
                <w:rFonts w:ascii="宋体" w:eastAsia="仿宋_GB2312" w:hAnsi="宋体" w:hint="eastAsia"/>
                <w:sz w:val="24"/>
              </w:rPr>
              <w:t>专栏、故事会、报告会、分享会等活动</w:t>
            </w:r>
            <w:r>
              <w:rPr>
                <w:rFonts w:ascii="宋体" w:eastAsia="仿宋_GB2312" w:hAnsi="宋体"/>
                <w:sz w:val="24"/>
              </w:rPr>
              <w:t xml:space="preserve"> 1</w:t>
            </w:r>
            <w:r>
              <w:rPr>
                <w:rFonts w:ascii="宋体" w:eastAsia="仿宋_GB2312" w:hAnsi="宋体" w:hint="eastAsia"/>
                <w:sz w:val="24"/>
              </w:rPr>
              <w:t>分。</w:t>
            </w:r>
          </w:p>
        </w:tc>
        <w:tc>
          <w:tcPr>
            <w:tcW w:w="4500" w:type="dxa"/>
            <w:vAlign w:val="center"/>
          </w:tcPr>
          <w:p w:rsidR="001234C7" w:rsidRPr="00CD700B" w:rsidRDefault="001234C7" w:rsidP="001234C7">
            <w:pPr>
              <w:numPr>
                <w:ilvl w:val="0"/>
                <w:numId w:val="3"/>
              </w:num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CD700B">
              <w:rPr>
                <w:rFonts w:ascii="仿宋_GB2312" w:eastAsia="仿宋_GB2312" w:hAnsi="宋体" w:hint="eastAsia"/>
                <w:sz w:val="24"/>
              </w:rPr>
              <w:t>每季度身边好人推荐截图。</w:t>
            </w:r>
          </w:p>
          <w:p w:rsidR="001234C7" w:rsidRDefault="001234C7" w:rsidP="00532772">
            <w:pPr>
              <w:spacing w:line="280" w:lineRule="exact"/>
              <w:ind w:firstLineChars="50" w:firstLine="120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 w:rsidRPr="00CD700B">
              <w:rPr>
                <w:rFonts w:ascii="仿宋_GB2312" w:eastAsia="仿宋_GB2312" w:hAnsi="宋体"/>
                <w:sz w:val="24"/>
              </w:rPr>
              <w:t>2</w:t>
            </w:r>
            <w:r w:rsidRPr="00CD700B">
              <w:rPr>
                <w:rFonts w:ascii="仿宋_GB2312" w:eastAsia="仿宋_GB2312" w:hAnsi="宋体" w:hint="eastAsia"/>
                <w:sz w:val="24"/>
              </w:rPr>
              <w:t>、每季度开展活动的视频或照片（有活动背景图）和</w:t>
            </w:r>
            <w:r w:rsidRPr="00CD700B">
              <w:rPr>
                <w:rFonts w:ascii="仿宋_GB2312" w:eastAsia="仿宋_GB2312" w:hAnsi="宋体"/>
                <w:sz w:val="24"/>
              </w:rPr>
              <w:t>500</w:t>
            </w:r>
            <w:r w:rsidRPr="00CD700B">
              <w:rPr>
                <w:rFonts w:ascii="仿宋_GB2312" w:eastAsia="仿宋_GB2312" w:hAnsi="宋体" w:hint="eastAsia"/>
                <w:sz w:val="24"/>
              </w:rPr>
              <w:t>字以内的文字材料。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widowControl/>
              <w:spacing w:line="360" w:lineRule="atLeast"/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kern w:val="0"/>
                <w:sz w:val="24"/>
              </w:rPr>
              <w:t>现场查看</w:t>
            </w:r>
          </w:p>
        </w:tc>
      </w:tr>
      <w:tr w:rsidR="001234C7" w:rsidTr="00532772">
        <w:trPr>
          <w:trHeight w:val="1242"/>
        </w:trPr>
        <w:tc>
          <w:tcPr>
            <w:tcW w:w="720" w:type="dxa"/>
            <w:vAlign w:val="center"/>
          </w:tcPr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二</w:t>
            </w:r>
          </w:p>
          <w:p w:rsidR="001234C7" w:rsidRDefault="001234C7" w:rsidP="00532772">
            <w:pPr>
              <w:rPr>
                <w:rFonts w:ascii="仿宋_GB2312" w:eastAsia="仿宋_GB2312" w:hAnsi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创建活动</w:t>
            </w: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 w:hAnsi="Arial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立足本区域特点和实际创造性开展各类精神文明建设活动。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440" w:lineRule="exact"/>
              <w:rPr>
                <w:rFonts w:ascii="仿宋_GB2312" w:eastAsia="仿宋_GB2312" w:hAnsi="Arial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24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全年度不少于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项活动。每开展一项活动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分。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开展活动的图片、文字等材料。</w:t>
            </w:r>
          </w:p>
          <w:p w:rsidR="001234C7" w:rsidRDefault="001234C7" w:rsidP="00532772">
            <w:pPr>
              <w:spacing w:line="280" w:lineRule="exact"/>
              <w:rPr>
                <w:rFonts w:ascii="仿宋_GB2312" w:eastAsia="仿宋_GB2312" w:hAnsi="Arial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不得与第一部分要求的创建活动重复。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现场查看</w:t>
            </w:r>
          </w:p>
        </w:tc>
      </w:tr>
      <w:tr w:rsidR="001234C7" w:rsidTr="00532772">
        <w:trPr>
          <w:trHeight w:val="1850"/>
        </w:trPr>
        <w:tc>
          <w:tcPr>
            <w:tcW w:w="720" w:type="dxa"/>
            <w:vMerge w:val="restart"/>
            <w:vAlign w:val="center"/>
          </w:tcPr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</w:t>
            </w: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</w:t>
            </w:r>
          </w:p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培养推选道德模范和各类先进个人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当年有省级道德模范、劳模、省级先进工作者、感动陕西人物</w:t>
            </w:r>
            <w:r>
              <w:rPr>
                <w:rFonts w:ascii="宋体" w:eastAsia="仿宋_GB2312" w:hAnsi="宋体"/>
                <w:sz w:val="24"/>
              </w:rPr>
              <w:t>,</w:t>
            </w:r>
            <w:r>
              <w:rPr>
                <w:rFonts w:ascii="宋体" w:eastAsia="仿宋_GB2312" w:hAnsi="宋体" w:hint="eastAsia"/>
                <w:sz w:val="24"/>
              </w:rPr>
              <w:t>入选“中国好人”、“陕西好人”、“陕西美德少年”每人次得</w:t>
            </w:r>
            <w:r>
              <w:rPr>
                <w:rFonts w:ascii="宋体" w:eastAsia="仿宋_GB2312" w:hAnsi="宋体"/>
                <w:sz w:val="24"/>
              </w:rPr>
              <w:t>2</w:t>
            </w:r>
            <w:r>
              <w:rPr>
                <w:rFonts w:ascii="宋体" w:eastAsia="仿宋_GB2312" w:hAnsi="宋体" w:hint="eastAsia"/>
                <w:sz w:val="24"/>
              </w:rPr>
              <w:t>分；当年有市级道德模范、市级先进工作者等每人次得</w:t>
            </w:r>
            <w:r>
              <w:rPr>
                <w:rFonts w:ascii="宋体" w:eastAsia="仿宋_GB2312" w:hAnsi="宋体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分，当年有“渭南美德少年”每人次得</w:t>
            </w:r>
            <w:r>
              <w:rPr>
                <w:rFonts w:ascii="宋体" w:eastAsia="仿宋_GB2312" w:hAnsi="宋体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分，市级优秀志愿者每人次得</w:t>
            </w:r>
            <w:r>
              <w:rPr>
                <w:rFonts w:ascii="宋体" w:eastAsia="仿宋_GB2312" w:hAnsi="宋体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分。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命名文件或证书照片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现场查看</w:t>
            </w:r>
          </w:p>
        </w:tc>
      </w:tr>
      <w:tr w:rsidR="001234C7" w:rsidTr="00532772">
        <w:trPr>
          <w:trHeight w:val="1850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集体荣誉称号项目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获国家级奖励得</w:t>
            </w:r>
            <w:r>
              <w:rPr>
                <w:rFonts w:ascii="仿宋_GB2312" w:eastAsia="仿宋_GB2312"/>
                <w:sz w:val="24"/>
              </w:rPr>
              <w:t>2.5</w:t>
            </w:r>
            <w:r>
              <w:rPr>
                <w:rFonts w:ascii="仿宋_GB2312" w:eastAsia="仿宋_GB2312" w:hint="eastAsia"/>
                <w:sz w:val="24"/>
              </w:rPr>
              <w:t>分；获省级奖励得</w:t>
            </w:r>
            <w:r>
              <w:rPr>
                <w:rFonts w:ascii="仿宋_GB2312" w:eastAsia="仿宋_GB2312"/>
                <w:sz w:val="24"/>
              </w:rPr>
              <w:t>1.5</w:t>
            </w:r>
            <w:r>
              <w:rPr>
                <w:rFonts w:ascii="仿宋_GB2312" w:eastAsia="仿宋_GB2312" w:hint="eastAsia"/>
                <w:sz w:val="24"/>
              </w:rPr>
              <w:t>分；市级奖励得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获奖证书、照片等材料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现场查看</w:t>
            </w:r>
          </w:p>
        </w:tc>
      </w:tr>
      <w:tr w:rsidR="001234C7" w:rsidTr="00532772">
        <w:trPr>
          <w:trHeight w:val="1850"/>
        </w:trPr>
        <w:tc>
          <w:tcPr>
            <w:tcW w:w="720" w:type="dxa"/>
            <w:vMerge/>
            <w:vAlign w:val="center"/>
          </w:tcPr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234C7" w:rsidRDefault="001234C7" w:rsidP="0053277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文明创建的好经验好做法</w:t>
            </w:r>
          </w:p>
        </w:tc>
        <w:tc>
          <w:tcPr>
            <w:tcW w:w="540" w:type="dxa"/>
            <w:vAlign w:val="center"/>
          </w:tcPr>
          <w:p w:rsidR="001234C7" w:rsidRDefault="001234C7" w:rsidP="0053277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378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文明镇创建与管理工作在中央主要媒体进行了专题宣传报道（人民日报、光明日报、经济日报、中央人民广播电台、中央电视台、求是）得</w:t>
            </w:r>
            <w:r>
              <w:rPr>
                <w:rFonts w:ascii="仿宋_GB2312" w:eastAsia="仿宋_GB2312"/>
                <w:sz w:val="24"/>
              </w:rPr>
              <w:t>2.5</w:t>
            </w:r>
            <w:r>
              <w:rPr>
                <w:rFonts w:ascii="仿宋_GB2312" w:eastAsia="仿宋_GB2312" w:hint="eastAsia"/>
                <w:sz w:val="24"/>
              </w:rPr>
              <w:t>分；在中国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文明网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和省级媒体进行宣传报道得</w:t>
            </w:r>
            <w:r>
              <w:rPr>
                <w:rFonts w:ascii="仿宋_GB2312" w:eastAsia="仿宋_GB2312"/>
                <w:sz w:val="24"/>
              </w:rPr>
              <w:t>1.5</w:t>
            </w:r>
            <w:r>
              <w:rPr>
                <w:rFonts w:ascii="仿宋_GB2312" w:eastAsia="仿宋_GB2312" w:hint="eastAsia"/>
                <w:sz w:val="24"/>
              </w:rPr>
              <w:t>分；在渭南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文明网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和市级主要媒体进行宣传得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分。</w:t>
            </w:r>
          </w:p>
        </w:tc>
        <w:tc>
          <w:tcPr>
            <w:tcW w:w="4500" w:type="dxa"/>
            <w:vAlign w:val="center"/>
          </w:tcPr>
          <w:p w:rsidR="001234C7" w:rsidRDefault="001234C7" w:rsidP="0053277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报纸复印件、电子版、电视广播视频、音频资料等</w:t>
            </w:r>
          </w:p>
        </w:tc>
        <w:tc>
          <w:tcPr>
            <w:tcW w:w="1440" w:type="dxa"/>
            <w:vAlign w:val="center"/>
          </w:tcPr>
          <w:p w:rsidR="001234C7" w:rsidRDefault="001234C7" w:rsidP="005327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现场查看</w:t>
            </w:r>
          </w:p>
        </w:tc>
      </w:tr>
    </w:tbl>
    <w:p w:rsidR="001234C7" w:rsidRPr="00F92494" w:rsidRDefault="001234C7" w:rsidP="001234C7">
      <w:pPr>
        <w:rPr>
          <w:rFonts w:ascii="宋体" w:cs="宋体"/>
          <w:sz w:val="28"/>
          <w:szCs w:val="28"/>
        </w:rPr>
      </w:pPr>
      <w:r w:rsidRPr="00F92494">
        <w:rPr>
          <w:rFonts w:ascii="宋体" w:hAnsi="宋体" w:cs="宋体" w:hint="eastAsia"/>
          <w:sz w:val="28"/>
          <w:szCs w:val="28"/>
        </w:rPr>
        <w:lastRenderedPageBreak/>
        <w:t>说明：</w:t>
      </w:r>
      <w:r w:rsidRPr="00F92494">
        <w:rPr>
          <w:rFonts w:ascii="宋体" w:hAnsi="宋体" w:cs="宋体"/>
          <w:sz w:val="28"/>
          <w:szCs w:val="28"/>
        </w:rPr>
        <w:t>1</w:t>
      </w:r>
      <w:r w:rsidRPr="00F92494">
        <w:rPr>
          <w:rFonts w:ascii="宋体" w:hAnsi="宋体" w:cs="宋体" w:hint="eastAsia"/>
          <w:sz w:val="28"/>
          <w:szCs w:val="28"/>
        </w:rPr>
        <w:t>、各类表彰当年有效；</w:t>
      </w:r>
      <w:r w:rsidRPr="00F92494">
        <w:rPr>
          <w:rFonts w:ascii="宋体" w:hAnsi="宋体" w:cs="宋体"/>
          <w:sz w:val="28"/>
          <w:szCs w:val="28"/>
        </w:rPr>
        <w:t>2</w:t>
      </w:r>
      <w:r w:rsidRPr="00F92494">
        <w:rPr>
          <w:rFonts w:ascii="宋体" w:hAnsi="宋体" w:cs="宋体" w:hint="eastAsia"/>
          <w:sz w:val="28"/>
          <w:szCs w:val="28"/>
        </w:rPr>
        <w:t>、只计算党委、政府的表彰奖励；</w:t>
      </w:r>
      <w:r w:rsidRPr="00F92494">
        <w:rPr>
          <w:rFonts w:ascii="宋体" w:hAnsi="宋体" w:cs="宋体"/>
          <w:sz w:val="28"/>
          <w:szCs w:val="28"/>
        </w:rPr>
        <w:t>3</w:t>
      </w:r>
      <w:r w:rsidRPr="00F92494">
        <w:rPr>
          <w:rFonts w:ascii="宋体" w:hAnsi="宋体" w:cs="宋体" w:hint="eastAsia"/>
          <w:sz w:val="28"/>
          <w:szCs w:val="28"/>
        </w:rPr>
        <w:t>、均为累积奖励加分（同一项工作除外）。</w:t>
      </w:r>
    </w:p>
    <w:p w:rsidR="00D61934" w:rsidRPr="001234C7" w:rsidRDefault="00D61934"/>
    <w:sectPr w:rsidR="00D61934" w:rsidRPr="001234C7" w:rsidSect="001234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6805"/>
    <w:multiLevelType w:val="hybridMultilevel"/>
    <w:tmpl w:val="E5188CD0"/>
    <w:lvl w:ilvl="0" w:tplc="98B6292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>
    <w:nsid w:val="564D7E9C"/>
    <w:multiLevelType w:val="singleLevel"/>
    <w:tmpl w:val="564D7E9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64D811F"/>
    <w:multiLevelType w:val="singleLevel"/>
    <w:tmpl w:val="564D811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4C7"/>
    <w:rsid w:val="001234C7"/>
    <w:rsid w:val="00D6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</Words>
  <Characters>1719</Characters>
  <Application>Microsoft Office Word</Application>
  <DocSecurity>0</DocSecurity>
  <Lines>14</Lines>
  <Paragraphs>4</Paragraphs>
  <ScaleCrop>false</ScaleCrop>
  <Company>China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2019-03-19T01:32:00Z</dcterms:created>
  <dcterms:modified xsi:type="dcterms:W3CDTF">2019-03-19T01:32:00Z</dcterms:modified>
</cp:coreProperties>
</file>